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2-chronicles-16"/>
    <w:p>
      <w:pPr>
        <w:pStyle w:val="Heading1"/>
      </w:pPr>
      <w:r>
        <w:t xml:space="preserve">Homiletics Analysis: 2 Chronicles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16 records the final chapter of Asa’s reign — a reign that began with extraordinary faith and ends in catastrophic failure. The chapter opens with a military crisis: Baasha king of Israel fortifies Ramah to block traffic to Judah (v.1). Rather than seeking the LORD as he had in chapter 14, Asa strips the temple treasury and sends it to Ben-hadad of Syria as a bribe to break the alliance between Syria and Israel (vv.2-3). The stratagem works militarily — Ben-hadad attacks Israel’s northern cities, Baasha withdraws from Ramah, and Asa builds with the recovered materials (vv.4-6). But the prophet Hanani arrives with a divine verdict: because Asa relied on the king of Syria rather than on the LORD, the army of Syria has now escaped his hand — and wars will follow him (vv.7-9). The contrast Hanani draws is pointed: when Asa had trusted the LORD against the Ethiopians and Libyans, the LORD delivered them. Now Asa has traded that covenant resource for a political alliance. Asa’s response is not repentance but rage — he imprisons Hanani and crushes others in the population (v.10). The chapter closes with a second failure: in the thirty-ninth year of his reign Asa contracts a severe disease in his feet, yet even then he does not seek the LORD but only physicians (vv.11-12). He dies in the forty-first year, receiving an honorable burial (vv.13-14) — a mercy that itself underscores what was lost.</w:t>
      </w:r>
    </w:p>
    <w:p>
      <w:pPr>
        <w:pStyle w:val="BodyText"/>
      </w:pPr>
      <w:r>
        <w:rPr>
          <w:b/>
          <w:bCs/>
        </w:rPr>
        <w:t xml:space="preserve">This Text — Intent</w:t>
      </w:r>
    </w:p>
    <w:p>
      <w:pPr>
        <w:pStyle w:val="BodyText"/>
      </w:pPr>
      <w:r>
        <w:t xml:space="preserve">God is pressing a searching question through this account:</w:t>
      </w:r>
      <w:r>
        <w:t xml:space="preserve"> </w:t>
      </w:r>
      <w:r>
        <w:rPr>
          <w:i/>
          <w:iCs/>
        </w:rPr>
        <w:t xml:space="preserve">Where does the covenant people turn when the pressure is real?</w:t>
      </w:r>
      <w:r>
        <w:t xml:space="preserve"> </w:t>
      </w:r>
      <w:r>
        <w:t xml:space="preserve">The Chronicler is not presenting Asa as a villain — he has already celebrated Asa’s earlier faith (chapters 14-15). The tragedy of chapter 16 is precisely that Asa</w:t>
      </w:r>
      <w:r>
        <w:t xml:space="preserve"> </w:t>
      </w:r>
      <w:r>
        <w:rPr>
          <w:i/>
          <w:iCs/>
        </w:rPr>
        <w:t xml:space="preserve">knew</w:t>
      </w:r>
      <w:r>
        <w:t xml:space="preserve"> </w:t>
      </w:r>
      <w:r>
        <w:t xml:space="preserve">what it looked like to trust the LORD and chose not to. God’s intent through this passage is to confront every reader who has accumulated a history of faithfulness and is now, in a fresh crisis, reaching for the human lever rather than the divine resource — to expose that move as the betrayal it is, and to press the question of whether the reader will respond to prophetic confrontation with repentance or with rage.</w:t>
      </w:r>
    </w:p>
    <w:p>
      <w:r>
        <w:pict>
          <v:rect style="width:0;height:1.5pt" o:hralign="center" o:hrstd="t" o:hr="t"/>
        </w:pict>
      </w:r>
    </w:p>
    <w:p>
      <w:pPr>
        <w:pStyle w:val="FirstParagraph"/>
      </w:pPr>
      <w:r>
        <w:rPr>
          <w:b/>
          <w:bCs/>
        </w:rPr>
        <w:t xml:space="preserve">Subject Sentence:</w:t>
      </w:r>
      <w:r>
        <w:t xml:space="preserve"> </w:t>
      </w:r>
      <w:r>
        <w:t xml:space="preserve">Asa’s late-reign failure exposes the danger of trading covenant trust for human strategy.</w:t>
      </w:r>
    </w:p>
    <w:p>
      <w:r>
        <w:pict>
          <v:rect style="width:0;height:1.5pt" o:hralign="center" o:hrstd="t" o:hr="t"/>
        </w:pict>
      </w:r>
    </w:p>
    <w:p>
      <w:pPr>
        <w:pStyle w:val="FirstParagraph"/>
      </w:pPr>
      <w:r>
        <w:rPr>
          <w:b/>
          <w:bCs/>
        </w:rPr>
        <w:t xml:space="preserve">Primary Claim:</w:t>
      </w:r>
      <w:r>
        <w:t xml:space="preserve"> </w:t>
      </w:r>
      <w:r>
        <w:t xml:space="preserve">God is confronting the reader with the specific danger of a seasoned believer who knows what faithful trust looks like but, under fresh pressure, reaches for human mechanisms instead — and then compounds the failure by silencing the voice that calls him back.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most significant interpretive question in this passage concerns whether the Chronicler intends Asa’s medical consultation (v.12) as categorically sinful — and if so, what kind of sin. Some readers, particularly in traditions that emphasize divine healing and are cautious about medical intervention, have taken this verse as a proof text against seeking medical care. This reading must be</w:t>
      </w:r>
      <w:r>
        <w:t xml:space="preserve"> </w:t>
      </w:r>
      <w:r>
        <w:rPr>
          <w:b/>
          <w:bCs/>
        </w:rPr>
        <w:t xml:space="preserve">refuted</w:t>
      </w:r>
      <w:r>
        <w:t xml:space="preserve">. The Chronicler’s point is not that physicians are bad but that Asa did not seek</w:t>
      </w:r>
      <w:r>
        <w:t xml:space="preserve"> </w:t>
      </w:r>
      <w:r>
        <w:rPr>
          <w:i/>
          <w:iCs/>
        </w:rPr>
        <w:t xml:space="preserve">the LORD</w:t>
      </w:r>
      <w:r>
        <w:t xml:space="preserve"> </w:t>
      </w:r>
      <w:r>
        <w:t xml:space="preserve">— the same verb and the same pattern as v.7. The condemnation falls on the exclusive substitution, not the consultation itself. A man who trusts the LORD and also consults a physician is not doing what Asa did. Asa did not seek the LORD at all — he sought</w:t>
      </w:r>
      <w:r>
        <w:t xml:space="preserve"> </w:t>
      </w:r>
      <w:r>
        <w:rPr>
          <w:i/>
          <w:iCs/>
        </w:rPr>
        <w:t xml:space="preserve">only</w:t>
      </w:r>
      <w:r>
        <w:t xml:space="preserve"> </w:t>
      </w:r>
      <w:r>
        <w:t xml:space="preserve">physicians. The structural parallel between vv.7-9 (military crisis: sought Syria, not the LORD) and vv.11-12 (physical crisis: sought physicians, not the LORD) confirms that the Chronicler is drawing a pattern of misplaced trust across the whole chapter, not legislating against medicine.</w:t>
      </w:r>
    </w:p>
    <w:p>
      <w:pPr>
        <w:pStyle w:val="BodyText"/>
      </w:pPr>
      <w:r>
        <w:t xml:space="preserve">A second interpretive question concerns the relationship between the Kings account and the Chronicles account. First Kings 15 presents Asa’s reign with general approval and makes no mention of the Hanani confrontation or the foot disease’s theological significance. Some critical scholars treat the Chronicler’s additions as theological editorializing that departs from historical fact. The Reformed reading takes the Chronicler as a Spirit-inspired author selecting and framing his material with deliberate theological purpose — the Chronicler’s additions are not distortions of the Kings source but the inspired interpretation of that history. The Chronicler’s purpose throughout his work is to call the post-exilic community to covenant faithfulness by showing the pattern of how trust and its absence shaped Israel’s history. Chapter 16 is a prime exhibit. The absence of the Hanani confrontation from Kings does not impugn its historicity — it reflects different authorial purpose.</w:t>
      </w:r>
    </w:p>
    <w:p>
      <w:pPr>
        <w:pStyle w:val="BodyText"/>
      </w:pPr>
      <w:r>
        <w:t xml:space="preserve">A third question is whether Asa’s failures here invalidate the earlier genuine faith of chapters 14-15. The Wesleyan/Arminian tradition might read Asa’s trajectory as a warning about losing genuine grace through unbelief. The Reformed reading</w:t>
      </w:r>
      <w:r>
        <w:t xml:space="preserve"> </w:t>
      </w:r>
      <w:r>
        <w:rPr>
          <w:b/>
          <w:bCs/>
        </w:rPr>
        <w:t xml:space="preserve">qualifies</w:t>
      </w:r>
      <w:r>
        <w:t xml:space="preserve"> </w:t>
      </w:r>
      <w:r>
        <w:t xml:space="preserve">this: Asa’s burial with honor (v.14) and the absence of divine abandonment language suggests the Chronicler does not intend to read Asa out of covenant standing — but the warning about late-life drift and the hardening that silences prophetic rebuke is entirely real and is the text’s own emphasis. The issue is not whether Asa was regenerate but whether his final years were fruitful and obedient. They were not. Both truths must be held.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Chronicles 14:9-15; 15:1-7</w:t>
      </w:r>
      <w:r>
        <w:t xml:space="preserve"> </w:t>
      </w:r>
      <w:r>
        <w:t xml:space="preserve">— Asa’s earlier reliance on the LORD against the Ethiopians provides the explicit contrast Hanani invokes; the passage cannot be read without this prior history of faithfulness, which makes the failure of chapter 16 all the more condemning.</w:t>
      </w:r>
    </w:p>
    <w:p>
      <w:pPr>
        <w:numPr>
          <w:ilvl w:val="0"/>
          <w:numId w:val="1001"/>
        </w:numPr>
      </w:pPr>
      <w:r>
        <w:rPr>
          <w:b/>
          <w:bCs/>
        </w:rPr>
        <w:t xml:space="preserve">Jeremiah 17:5-8</w:t>
      </w:r>
      <w:r>
        <w:t xml:space="preserve"> </w:t>
      </w:r>
      <w:r>
        <w:t xml:space="preserve">—</w:t>
      </w:r>
      <w:r>
        <w:t xml:space="preserve"> </w:t>
      </w:r>
      <w:r>
        <w:t xml:space="preserve">“Cursed is the man who trusts in man and makes flesh his strength… Blessed is the man who trusts in the LORD.”</w:t>
      </w:r>
      <w:r>
        <w:t xml:space="preserve"> </w:t>
      </w:r>
      <w:r>
        <w:t xml:space="preserve">This is the clearest prophetic articulation of the precise principle Hanani applies to Asa — misplaced horizontal trust versus vertical covenant trust.</w:t>
      </w:r>
    </w:p>
    <w:p>
      <w:pPr>
        <w:numPr>
          <w:ilvl w:val="0"/>
          <w:numId w:val="1001"/>
        </w:numPr>
      </w:pPr>
      <w:r>
        <w:rPr>
          <w:b/>
          <w:bCs/>
        </w:rPr>
        <w:t xml:space="preserve">Psalm 20:7</w:t>
      </w:r>
      <w:r>
        <w:t xml:space="preserve"> </w:t>
      </w:r>
      <w:r>
        <w:t xml:space="preserve">—</w:t>
      </w:r>
      <w:r>
        <w:t xml:space="preserve"> </w:t>
      </w:r>
      <w:r>
        <w:t xml:space="preserve">“Some trust in chariots and some in horses, but we trust in the name of the LORD our God.”</w:t>
      </w:r>
      <w:r>
        <w:t xml:space="preserve"> </w:t>
      </w:r>
      <w:r>
        <w:t xml:space="preserve">The LORD’s ability to deliver without superior military means is the exact ground on which Hanani confronts Asa (v.8:</w:t>
      </w:r>
      <w:r>
        <w:t xml:space="preserve"> </w:t>
      </w:r>
      <w:r>
        <w:t xml:space="preserve">“Were not the Ethiopians and Libyans a huge army…?”</w:t>
      </w:r>
      <w:r>
        <w:t xml:space="preserve">).</w:t>
      </w:r>
    </w:p>
    <w:p>
      <w:pPr>
        <w:numPr>
          <w:ilvl w:val="0"/>
          <w:numId w:val="1001"/>
        </w:numPr>
      </w:pPr>
      <w:r>
        <w:rPr>
          <w:b/>
          <w:bCs/>
        </w:rPr>
        <w:t xml:space="preserve">2 Chronicles 7:14</w:t>
      </w:r>
      <w:r>
        <w:t xml:space="preserve"> </w:t>
      </w:r>
      <w:r>
        <w:t xml:space="preserve">— The recurring Chronicler thesis: seeking the LORD is the covenant people’s fundamental posture and the precondition of divine engagement. Asa’s failure to seek the LORD (vv.7, 12) is the direct inversion of this foundational call.</w:t>
      </w:r>
    </w:p>
    <w:p>
      <w:pPr>
        <w:numPr>
          <w:ilvl w:val="0"/>
          <w:numId w:val="1001"/>
        </w:numPr>
      </w:pPr>
      <w:r>
        <w:rPr>
          <w:b/>
          <w:bCs/>
        </w:rPr>
        <w:t xml:space="preserve">Proverbs 3:5-7</w:t>
      </w:r>
      <w:r>
        <w:t xml:space="preserve"> </w:t>
      </w:r>
      <w:r>
        <w:t xml:space="preserve">—</w:t>
      </w:r>
      <w:r>
        <w:t xml:space="preserve"> </w:t>
      </w:r>
      <w:r>
        <w:t xml:space="preserve">“Trust in the LORD with all your heart, and do not lean on your own understanding.”</w:t>
      </w:r>
      <w:r>
        <w:t xml:space="preserve"> </w:t>
      </w:r>
      <w:r>
        <w:t xml:space="preserve">Asa’s political calculation in vv.2-3 is precisely the leaning on human understanding that Proverbs identifies as the alternative to trust — and the passage frames this not as wisdom but as a failure of heart orientation.</w:t>
      </w:r>
    </w:p>
    <w:p>
      <w:r>
        <w:pict>
          <v:rect style="width:0;height:1.5pt" o:hralign="center" o:hrstd="t" o:hr="t"/>
        </w:pict>
      </w:r>
    </w:p>
    <w:p>
      <w:pPr>
        <w:pStyle w:val="FirstParagraph"/>
      </w:pPr>
      <w:r>
        <w:rPr>
          <w:b/>
          <w:bCs/>
        </w:rPr>
        <w:t xml:space="preserve">Aim:</w:t>
      </w:r>
      <w:r>
        <w:t xml:space="preserve"> </w:t>
      </w:r>
      <w:r>
        <w:t xml:space="preserve">To expose the specific pattern by which accumulated faith can be undone — not by dramatic apostasy but by a quiet turn toward human mechanisms in a moment of pressure, compounded by resistance to the corrective word — and to call the reader to honest self-examination about where they reach first.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Baasha king of Israel fortifies Ramah against Judah</w:t>
            </w:r>
          </w:p>
        </w:tc>
        <w:tc>
          <w:tcPr/>
          <w:p>
            <w:pPr>
              <w:pStyle w:val="Compact"/>
            </w:pPr>
            <w:r>
              <w:t xml:space="preserve">The crisis that triggers Asa’s failure — a genuine military threat</w:t>
            </w:r>
          </w:p>
        </w:tc>
      </w:tr>
      <w:tr>
        <w:tc>
          <w:tcPr/>
          <w:p>
            <w:pPr>
              <w:pStyle w:val="Compact"/>
            </w:pPr>
            <w:r>
              <w:t xml:space="preserve">16:2-3</w:t>
            </w:r>
          </w:p>
        </w:tc>
        <w:tc>
          <w:tcPr/>
          <w:p>
            <w:pPr>
              <w:pStyle w:val="Compact"/>
            </w:pPr>
            <w:r>
              <w:t xml:space="preserve">Asa empties the temple and palace treasuries; sends silver and gold to Ben-hadad of Syria with a request to break the Syria-Israel alliance</w:t>
            </w:r>
          </w:p>
        </w:tc>
        <w:tc>
          <w:tcPr/>
          <w:p>
            <w:pPr>
              <w:pStyle w:val="Compact"/>
            </w:pPr>
            <w:r>
              <w:t xml:space="preserve">The key act: covenant resources deployed for diplomatic purchase rather than prayer; note the temple treasury — this is sacred wealth</w:t>
            </w:r>
          </w:p>
        </w:tc>
      </w:tr>
      <w:tr>
        <w:tc>
          <w:tcPr/>
          <w:p>
            <w:pPr>
              <w:pStyle w:val="Compact"/>
            </w:pPr>
            <w:r>
              <w:t xml:space="preserve">16:4-6</w:t>
            </w:r>
          </w:p>
        </w:tc>
        <w:tc>
          <w:tcPr/>
          <w:p>
            <w:pPr>
              <w:pStyle w:val="Compact"/>
            </w:pPr>
            <w:r>
              <w:t xml:space="preserve">Ben-hadad attacks Israel’s northern cities; Baasha withdraws from Ramah; Asa uses the materials from Ramah to build Geba and Mizpah</w:t>
            </w:r>
          </w:p>
        </w:tc>
        <w:tc>
          <w:tcPr/>
          <w:p>
            <w:pPr>
              <w:pStyle w:val="Compact"/>
            </w:pPr>
            <w:r>
              <w:t xml:space="preserve">The plan</w:t>
            </w:r>
            <w:r>
              <w:t xml:space="preserve"> </w:t>
            </w:r>
            <w:r>
              <w:t xml:space="preserve">“works”</w:t>
            </w:r>
            <w:r>
              <w:t xml:space="preserve"> </w:t>
            </w:r>
            <w:r>
              <w:t xml:space="preserve">in immediate military terms — but at a price not yet calculated</w:t>
            </w:r>
          </w:p>
        </w:tc>
      </w:tr>
      <w:tr>
        <w:tc>
          <w:tcPr/>
          <w:p>
            <w:pPr>
              <w:pStyle w:val="Compact"/>
            </w:pPr>
            <w:r>
              <w:t xml:space="preserve">16:7</w:t>
            </w:r>
          </w:p>
        </w:tc>
        <w:tc>
          <w:tcPr/>
          <w:p>
            <w:pPr>
              <w:pStyle w:val="Compact"/>
            </w:pPr>
            <w:r>
              <w:t xml:space="preserve">Hanani the seer arrives with a divine verdict:</w:t>
            </w:r>
            <w:r>
              <w:t xml:space="preserve"> </w:t>
            </w:r>
            <w:r>
              <w:t xml:space="preserve">“Because you relied on the king of Syria and not on the LORD your God, the army of Syria has escaped you”</w:t>
            </w:r>
          </w:p>
        </w:tc>
        <w:tc>
          <w:tcPr/>
          <w:p>
            <w:pPr>
              <w:pStyle w:val="Compact"/>
            </w:pPr>
            <w:r>
              <w:t xml:space="preserve">The LORD’s assessment is the opposite of the worldly assessment of vv.4-6</w:t>
            </w:r>
          </w:p>
        </w:tc>
      </w:tr>
      <w:tr>
        <w:tc>
          <w:tcPr/>
          <w:p>
            <w:pPr>
              <w:pStyle w:val="Compact"/>
            </w:pPr>
            <w:r>
              <w:t xml:space="preserve">16:8</w:t>
            </w:r>
          </w:p>
        </w:tc>
        <w:tc>
          <w:tcPr/>
          <w:p>
            <w:pPr>
              <w:pStyle w:val="Compact"/>
            </w:pPr>
            <w:r>
              <w:t xml:space="preserve">Hanani recalls the defeat of the Ethiopians and Libyans as evidence that the LORD can deliver even from overwhelming odds</w:t>
            </w:r>
          </w:p>
        </w:tc>
        <w:tc>
          <w:tcPr/>
          <w:p>
            <w:pPr>
              <w:pStyle w:val="Compact"/>
            </w:pPr>
            <w:r>
              <w:t xml:space="preserve">The contrast: then, you trusted; they were destroyed; now, you did not trust</w:t>
            </w:r>
          </w:p>
        </w:tc>
      </w:tr>
      <w:tr>
        <w:tc>
          <w:tcPr/>
          <w:p>
            <w:pPr>
              <w:pStyle w:val="Compact"/>
            </w:pPr>
            <w:r>
              <w:t xml:space="preserve">16:9</w:t>
            </w:r>
          </w:p>
        </w:tc>
        <w:tc>
          <w:tcPr/>
          <w:p>
            <w:pPr>
              <w:pStyle w:val="Compact"/>
            </w:pPr>
            <w:r>
              <w:t xml:space="preserve">“The eyes of the LORD run to and fro throughout the whole earth, to give strong support to those whose heart is blameless toward him. You have done foolishly in this; for from now on you will have wars.”</w:t>
            </w:r>
          </w:p>
        </w:tc>
        <w:tc>
          <w:tcPr/>
          <w:p>
            <w:pPr>
              <w:pStyle w:val="Compact"/>
            </w:pPr>
            <w:r>
              <w:t xml:space="preserve">Key verse — the LORD actively searches for those whose hearts are fully his;</w:t>
            </w:r>
            <w:r>
              <w:t xml:space="preserve"> </w:t>
            </w:r>
            <w:r>
              <w:t xml:space="preserve">“foolishly”</w:t>
            </w:r>
            <w:r>
              <w:t xml:space="preserve"> </w:t>
            </w:r>
            <w:r>
              <w:t xml:space="preserve">echoes Saul’s indictment (1 Sam. 13:13)</w:t>
            </w:r>
          </w:p>
        </w:tc>
      </w:tr>
      <w:tr>
        <w:tc>
          <w:tcPr/>
          <w:p>
            <w:pPr>
              <w:pStyle w:val="Compact"/>
            </w:pPr>
            <w:r>
              <w:t xml:space="preserve">16:10</w:t>
            </w:r>
          </w:p>
        </w:tc>
        <w:tc>
          <w:tcPr/>
          <w:p>
            <w:pPr>
              <w:pStyle w:val="Compact"/>
            </w:pPr>
            <w:r>
              <w:t xml:space="preserve">Asa is enraged; he imprisons Hanani; he crushes some of the people</w:t>
            </w:r>
          </w:p>
        </w:tc>
        <w:tc>
          <w:tcPr/>
          <w:p>
            <w:pPr>
              <w:pStyle w:val="Compact"/>
            </w:pPr>
            <w:r>
              <w:t xml:space="preserve">The second and more severe failure: rejection of the corrective word; this is the hardening that seals the pattern</w:t>
            </w:r>
          </w:p>
        </w:tc>
      </w:tr>
      <w:tr>
        <w:tc>
          <w:tcPr/>
          <w:p>
            <w:pPr>
              <w:pStyle w:val="Compact"/>
            </w:pPr>
            <w:r>
              <w:t xml:space="preserve">16:11</w:t>
            </w:r>
          </w:p>
        </w:tc>
        <w:tc>
          <w:tcPr/>
          <w:p>
            <w:pPr>
              <w:pStyle w:val="Compact"/>
            </w:pPr>
            <w:r>
              <w:t xml:space="preserve">Reference to the Book of the Kings of Judah and Israel as the full record</w:t>
            </w:r>
          </w:p>
        </w:tc>
        <w:tc>
          <w:tcPr/>
          <w:p>
            <w:pPr>
              <w:pStyle w:val="Compact"/>
            </w:pPr>
            <w:r>
              <w:t xml:space="preserve">Standard Chronicler formula — signals this is a selective presentation for theological purpose</w:t>
            </w:r>
          </w:p>
        </w:tc>
      </w:tr>
      <w:tr>
        <w:tc>
          <w:tcPr/>
          <w:p>
            <w:pPr>
              <w:pStyle w:val="Compact"/>
            </w:pPr>
            <w:r>
              <w:t xml:space="preserve">16:12</w:t>
            </w:r>
          </w:p>
        </w:tc>
        <w:tc>
          <w:tcPr/>
          <w:p>
            <w:pPr>
              <w:pStyle w:val="Compact"/>
            </w:pPr>
            <w:r>
              <w:t xml:space="preserve">In his thirty-ninth year Asa develops severe disease in his feet; he does not seek the LORD but only physicians</w:t>
            </w:r>
          </w:p>
        </w:tc>
        <w:tc>
          <w:tcPr/>
          <w:p>
            <w:pPr>
              <w:pStyle w:val="Compact"/>
            </w:pPr>
            <w:r>
              <w:t xml:space="preserve">The structural parallel to v.7 — medical crisis treated exactly as the military crisis was: horizontal only, no vertical</w:t>
            </w:r>
          </w:p>
        </w:tc>
      </w:tr>
      <w:tr>
        <w:tc>
          <w:tcPr/>
          <w:p>
            <w:pPr>
              <w:pStyle w:val="Compact"/>
            </w:pPr>
            <w:r>
              <w:t xml:space="preserve">16:13-14</w:t>
            </w:r>
          </w:p>
        </w:tc>
        <w:tc>
          <w:tcPr/>
          <w:p>
            <w:pPr>
              <w:pStyle w:val="Compact"/>
            </w:pPr>
            <w:r>
              <w:t xml:space="preserve">Asa dies in his forty-first year; receives an elaborate honorable burial</w:t>
            </w:r>
          </w:p>
        </w:tc>
        <w:tc>
          <w:tcPr/>
          <w:p>
            <w:pPr>
              <w:pStyle w:val="Compact"/>
            </w:pPr>
            <w:r>
              <w:t xml:space="preserve">The Chronicler does not strip Asa of honor — the tragedy is held in tension with his earlier legacy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16:1-6</w:t>
            </w:r>
          </w:p>
        </w:tc>
        <w:tc>
          <w:tcPr/>
          <w:p>
            <w:pPr>
              <w:pStyle w:val="Compact"/>
            </w:pPr>
            <w:r>
              <w:t xml:space="preserve">The Crisis and the Strategy: Asa Reaches for Syria</w:t>
            </w:r>
          </w:p>
        </w:tc>
      </w:tr>
      <w:tr>
        <w:tc>
          <w:tcPr/>
          <w:p>
            <w:pPr>
              <w:pStyle w:val="Compact"/>
            </w:pPr>
            <w:r>
              <w:t xml:space="preserve">2</w:t>
            </w:r>
          </w:p>
        </w:tc>
        <w:tc>
          <w:tcPr/>
          <w:p>
            <w:pPr>
              <w:pStyle w:val="Compact"/>
            </w:pPr>
            <w:r>
              <w:t xml:space="preserve">16:7-9</w:t>
            </w:r>
          </w:p>
        </w:tc>
        <w:tc>
          <w:tcPr/>
          <w:p>
            <w:pPr>
              <w:pStyle w:val="Compact"/>
            </w:pPr>
            <w:r>
              <w:t xml:space="preserve">The Verdict: Hanani Exposes the Trade</w:t>
            </w:r>
          </w:p>
        </w:tc>
      </w:tr>
      <w:tr>
        <w:tc>
          <w:tcPr/>
          <w:p>
            <w:pPr>
              <w:pStyle w:val="Compact"/>
            </w:pPr>
            <w:r>
              <w:t xml:space="preserve">3</w:t>
            </w:r>
          </w:p>
        </w:tc>
        <w:tc>
          <w:tcPr/>
          <w:p>
            <w:pPr>
              <w:pStyle w:val="Compact"/>
            </w:pPr>
            <w:r>
              <w:t xml:space="preserve">16:10</w:t>
            </w:r>
          </w:p>
        </w:tc>
        <w:tc>
          <w:tcPr/>
          <w:p>
            <w:pPr>
              <w:pStyle w:val="Compact"/>
            </w:pPr>
            <w:r>
              <w:t xml:space="preserve">The Hardening: Asa Silences the Word</w:t>
            </w:r>
          </w:p>
        </w:tc>
      </w:tr>
      <w:tr>
        <w:tc>
          <w:tcPr/>
          <w:p>
            <w:pPr>
              <w:pStyle w:val="Compact"/>
            </w:pPr>
            <w:r>
              <w:t xml:space="preserve">4</w:t>
            </w:r>
          </w:p>
        </w:tc>
        <w:tc>
          <w:tcPr/>
          <w:p>
            <w:pPr>
              <w:pStyle w:val="Compact"/>
            </w:pPr>
            <w:r>
              <w:t xml:space="preserve">16:11-14</w:t>
            </w:r>
          </w:p>
        </w:tc>
        <w:tc>
          <w:tcPr/>
          <w:p>
            <w:pPr>
              <w:pStyle w:val="Compact"/>
            </w:pPr>
            <w:r>
              <w:t xml:space="preserve">The Pattern Confirmed: Physicians, Not the LORD — and a King’s End</w:t>
            </w:r>
          </w:p>
        </w:tc>
      </w:tr>
    </w:tbl>
    <w:p>
      <w:r>
        <w:pict>
          <v:rect style="width:0;height:1.5pt" o:hralign="center" o:hrstd="t" o:hr="t"/>
        </w:pict>
      </w:r>
    </w:p>
    <w:p>
      <w:pPr>
        <w:pStyle w:val="FirstParagraph"/>
      </w:pPr>
      <w:r>
        <w:rPr>
          <w:b/>
          <w:bCs/>
        </w:rPr>
        <w:t xml:space="preserve">Subject Sentence:</w:t>
      </w:r>
      <w:r>
        <w:t xml:space="preserve"> </w:t>
      </w:r>
      <w:r>
        <w:t xml:space="preserve">Asa’s late-reign failure exposes the danger of trading covenant trust for human strategy.</w:t>
      </w:r>
    </w:p>
    <w:p>
      <w:pPr>
        <w:pStyle w:val="BodyText"/>
      </w:pPr>
      <w:r>
        <w:rPr>
          <w:b/>
          <w:bCs/>
        </w:rPr>
        <w:t xml:space="preserve">Primary Claim:</w:t>
      </w:r>
      <w:r>
        <w:t xml:space="preserve"> </w:t>
      </w:r>
      <w:r>
        <w:t xml:space="preserve">God is confronting the reader with the specific danger of a seasoned believer who knows what faithful trust looks like but, under fresh pressure, reaches for human mechanisms instead — and then compounds the failure by silencing the voice that calls him back.</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“working”</w:t>
      </w:r>
      <w:r>
        <w:rPr>
          <w:b/>
          <w:bCs/>
        </w:rPr>
        <w:t xml:space="preserve"> </w:t>
      </w:r>
      <w:r>
        <w:rPr>
          <w:b/>
          <w:bCs/>
        </w:rPr>
        <w:t xml:space="preserve">means.</w:t>
      </w:r>
      <w:r>
        <w:t xml:space="preserve"> </w:t>
      </w:r>
      <w:r>
        <w:t xml:space="preserve">Asa’s plan worked: Baasha withdrew, Asa got his building materials, the immediate crisis resolved. This is the passage’s most dangerous feature for the reader, because we tend to evaluate decisions by their immediate outcomes. The believer who reaches for the human mechanism and gets a good result has been trained by that outcome to do it again. The application is a cognitive reorientation: outcomes are not God’s endorsement of your method. The LORD’s verdict (v.7) came after the plan succeeded by every external measure. Ask not</w:t>
      </w:r>
      <w:r>
        <w:t xml:space="preserve"> </w:t>
      </w:r>
      <w:r>
        <w:t xml:space="preserve">“did it work?”</w:t>
      </w:r>
      <w:r>
        <w:t xml:space="preserve"> </w:t>
      </w:r>
      <w:r>
        <w:t xml:space="preserve">but</w:t>
      </w:r>
      <w:r>
        <w:t xml:space="preserve"> </w:t>
      </w:r>
      <w:r>
        <w:t xml:space="preserve">“whom did I seek?”</w:t>
      </w:r>
      <w:r>
        <w:t xml:space="preserve"> </w:t>
      </w:r>
      <w:r>
        <w:t xml:space="preserve">— because the two questions produce very different long-term trajectories.</w:t>
      </w:r>
    </w:p>
    <w:p>
      <w:pPr>
        <w:pStyle w:val="BodyText"/>
      </w:pPr>
      <w:r>
        <w:rPr>
          <w:b/>
          <w:bCs/>
        </w:rPr>
        <w:t xml:space="preserve">2. [Affections/Worship] — Feel the weight of what you traded away.</w:t>
      </w:r>
      <w:r>
        <w:t xml:space="preserve"> </w:t>
      </w:r>
      <w:r>
        <w:t xml:space="preserve">Hanani’s sharpest word is not a threat but a diagnosis: the Syrian army has</w:t>
      </w:r>
      <w:r>
        <w:t xml:space="preserve"> </w:t>
      </w:r>
      <w:r>
        <w:t xml:space="preserve">“escaped”</w:t>
      </w:r>
      <w:r>
        <w:t xml:space="preserve"> </w:t>
      </w:r>
      <w:r>
        <w:t xml:space="preserve">Asa (v.7). By reaching for the political lever, Asa forfeited the deliverance that the LORD had already prepared. What the believer trades when choosing the human mechanism over covenant trust is not merely a strategy — it is an encounter with the living God, a demonstration of His power, a deepening of the relationship. Asa didn’t just make a suboptimal tactical choice; he missed what the LORD was about to do for him. Let that land: the cost of misplaced trust is not failure alone — it is the forfeited experience of God’s sufficiency.</w:t>
      </w:r>
    </w:p>
    <w:p>
      <w:pPr>
        <w:pStyle w:val="BodyText"/>
      </w:pPr>
      <w:r>
        <w:rPr>
          <w:b/>
          <w:bCs/>
        </w:rPr>
        <w:t xml:space="preserve">3. [Will/Behavior] — Identify your Syrians before the crisis.</w:t>
      </w:r>
      <w:r>
        <w:t xml:space="preserve"> </w:t>
      </w:r>
      <w:r>
        <w:t xml:space="preserve">Asa did not invent the Ben-hadad option in the moment of crisis — he reached for what was available because Syria was already a known quantity. The practical application is this: examine now, in the absence of pressure, what your default horizontal resources are — the financial reserve that makes prayer feel unnecessary, the relationship network you rely on before you pray, the professional credential that makes you feel adequately resourced. These are not wrong in themselves. But if they are pre-positioned as the first resort, they will function as your Syria when Baasha fortifies Ramah. Identify them now, before the pressure arrives, and consciously subordinate them to covenant trust.</w:t>
      </w:r>
    </w:p>
    <w:p>
      <w:pPr>
        <w:pStyle w:val="BodyText"/>
      </w:pPr>
      <w:r>
        <w:rPr>
          <w:b/>
          <w:bCs/>
        </w:rPr>
        <w:t xml:space="preserve">4. [Mind/Belief] — Understand what the LORD is actually looking for.</w:t>
      </w:r>
      <w:r>
        <w:t xml:space="preserve"> </w:t>
      </w:r>
      <w:r>
        <w:t xml:space="preserve">Verse 9 is one of the most important verses in Chronicles:</w:t>
      </w:r>
      <w:r>
        <w:t xml:space="preserve"> </w:t>
      </w:r>
      <w:r>
        <w:t xml:space="preserve">“The eyes of the LORD run to and fro throughout the whole earth, to give strong support to those whose heart is blameless toward him.”</w:t>
      </w:r>
      <w:r>
        <w:t xml:space="preserve"> </w:t>
      </w:r>
      <w:r>
        <w:t xml:space="preserve">This is not a verse about moral perfection —</w:t>
      </w:r>
      <w:r>
        <w:t xml:space="preserve"> </w:t>
      </w:r>
      <w:r>
        <w:t xml:space="preserve">“blameless”</w:t>
      </w:r>
      <w:r>
        <w:t xml:space="preserve"> </w:t>
      </w:r>
      <w:r>
        <w:t xml:space="preserve">here means undivided, fully oriented toward the LORD, not split between the LORD and Syria. The LORD is</w:t>
      </w:r>
      <w:r>
        <w:t xml:space="preserve"> </w:t>
      </w:r>
      <w:r>
        <w:rPr>
          <w:i/>
          <w:iCs/>
        </w:rPr>
        <w:t xml:space="preserve">actively searching</w:t>
      </w:r>
      <w:r>
        <w:t xml:space="preserve"> </w:t>
      </w:r>
      <w:r>
        <w:t xml:space="preserve">for this. He is not reluctant to intervene; He is looking for the occasion. The believer who grasps this reframes prayer and trust not as last resorts when resources fail but as the first opening of the door to a God who is already moving toward them.</w:t>
      </w:r>
    </w:p>
    <w:p>
      <w:pPr>
        <w:pStyle w:val="BodyText"/>
      </w:pPr>
      <w:r>
        <w:rPr>
          <w:b/>
          <w:bCs/>
        </w:rPr>
        <w:t xml:space="preserve">5. [Will/Behavior] — Do not imprison Hanani.</w:t>
      </w:r>
      <w:r>
        <w:t xml:space="preserve"> </w:t>
      </w:r>
      <w:r>
        <w:t xml:space="preserve">Asa’s most consequential act in this chapter is not the bribe to Ben-hadad — it is the imprisonment of Hanani (v.10). The failure to trust can be repented of; the silencing of the corrective voice is the act that closes the door. Every believer has access to something like Hanani: a spouse who raises the right question, a pastor whose sermon lands uncomfortably, a friend who speaks the word you need, a passage of Scripture that confronts rather than comforts. The application is concrete: when the word comes to you that names your misplaced trust, do not reach for the mechanism that suppresses it. The rage Asa felt is recognizable — it is the emotional response of a person whose idol has been named. Name it that, and turn.</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LORD is not passive in His relationship with His people — He actively searches the earth for hearts that are fully His (v.9), and He speaks through prophets when those hearts drift. It reveals that God’s covenant claim on His people is total: not merely their formal religion or their public worship, but the direction they turn in genuine crisis. The passage also teaches that the grace of past faithfulness does not automatically carry forward — Asa’s history of trust did not prevent his later failure, which means each new pressure is a fresh occasion for either faith or substitution. Finally, it demonstrates that the LORD’s word, when rejected, does not simply go away — Hanani’s imprisonment does not silence the prophecy; the wars come, the disease comes, and the word is vindicated. God’s corrective speech to His people is not fragile.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powerfully illustrates the Reformed understanding that covenant faithfulness is not a possession to be accumulated but a relationship to be maintained — sola fide is not a past transaction but the ongoing posture of the heart toward God in every fresh situation. Asa’s failure is not the failure of a stranger to covenant; it is the failure of a covenant member to seek the covenant God, which the Reformed tradition identifies as the practical form of idolatry: substituting a controllable horizontal resource for dependence on a sovereign God. The passage also displays the Reformed doctrine of total depravity not as a description of the unregenerate only but as the persistent threat to the regenerate heart — even a man who had genuinely sought the LORD can, without fresh grace and continued orientation toward God, reach for the flesh. The Chronicler’s account presses the post-exilic (and every subsequent) community toward the only sustainable posture: covenant trust sustained not by past victories but by present and ongoing seeking of the LORD.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Asa knew what it looked like to trust the LORD — he had done it before and seen God deliver. And then, when the pressure came again, he reached for the political lever instead of the covenant resource. The LORD did not miss it. He still doesn’t miss it. The question this passage puts to every believer who has a history of faithfulness is not</w:t>
      </w:r>
      <w:r>
        <w:t xml:space="preserve"> </w:t>
      </w:r>
      <w:r>
        <w:t xml:space="preserve">“do you trust God in theory?”</w:t>
      </w:r>
      <w:r>
        <w:t xml:space="preserve"> </w:t>
      </w:r>
      <w:r>
        <w:t xml:space="preserve">but</w:t>
      </w:r>
      <w:r>
        <w:t xml:space="preserve"> </w:t>
      </w:r>
      <w:r>
        <w:t xml:space="preserve">“where did you reach first when Baasha showed up this week?”</w:t>
      </w:r>
      <w:r>
        <w:t xml:space="preserve"> </w:t>
      </w:r>
      <w:r>
        <w:t xml:space="preserve">— and whether, when the word came to name that move, you repented or you reached for the cell door.</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Asa as a villain rather than a mirror.</w:t>
      </w:r>
      <w:r>
        <w:t xml:space="preserve"> </w:t>
      </w:r>
      <w:r>
        <w:t xml:space="preserve">The homiletical danger is treating Asa as a cautionary tale about a bad king rather than a precise mirror for believers with a history of faithfulness. Asa is not foreign to the congregation — he is the congregation. The sermon loses its force if the listener can locate themselves as having avoided Asa’s error rather than as potentially doing exactly what he did. The question to press is not</w:t>
      </w:r>
      <w:r>
        <w:t xml:space="preserve"> </w:t>
      </w:r>
      <w:r>
        <w:t xml:space="preserve">“how could Asa do this?”</w:t>
      </w:r>
      <w:r>
        <w:t xml:space="preserve"> </w:t>
      </w:r>
      <w:r>
        <w:t xml:space="preserve">but</w:t>
      </w:r>
      <w:r>
        <w:t xml:space="preserve"> </w:t>
      </w:r>
      <w:r>
        <w:t xml:space="preserve">“where are you doing this right now?”</w:t>
      </w:r>
    </w:p>
    <w:p>
      <w:pPr>
        <w:numPr>
          <w:ilvl w:val="0"/>
          <w:numId w:val="1002"/>
        </w:numPr>
      </w:pPr>
      <w:r>
        <w:rPr>
          <w:b/>
          <w:bCs/>
        </w:rPr>
        <w:t xml:space="preserve">Treating verse 12 as a prohibition on medicine.</w:t>
      </w:r>
      <w:r>
        <w:t xml:space="preserve"> </w:t>
      </w:r>
      <w:r>
        <w:t xml:space="preserve">As noted in the Interpretive Evaluation, this is a recurring misuse of the verse, particularly in Charismatic and certain Pentecostal contexts. The text condemns the exclusive substitution of medical consultation for divine seeking — not medical consultation per se. The sermon should correct this reading explicitly if the congregation is exposed to it, but even without that context, the preacher should clarify the Chronicler’s structural point: the parallel is about the direction of first resort, not the category of help sought.</w:t>
      </w:r>
    </w:p>
    <w:p>
      <w:pPr>
        <w:numPr>
          <w:ilvl w:val="0"/>
          <w:numId w:val="1002"/>
        </w:numPr>
      </w:pPr>
      <w:r>
        <w:rPr>
          <w:b/>
          <w:bCs/>
        </w:rPr>
        <w:t xml:space="preserve">Spiritualizing verse 9 into a generic encouragement.</w:t>
      </w:r>
      <w:r>
        <w:t xml:space="preserve"> </w:t>
      </w:r>
      <w:r>
        <w:t xml:space="preserve">“The eyes of the LORD run to and fro throughout the whole earth”</w:t>
      </w:r>
      <w:r>
        <w:t xml:space="preserve"> </w:t>
      </w:r>
      <w:r>
        <w:t xml:space="preserve">is one of the most frequently extracted and generically applied verses in Chronicles. In context, it is a sharp diagnostic word delivered in a moment of prophetic rebuke — the LORD is searching for undivided hearts, and Asa’s is no longer one of them. Preaching it as a warm promise of God’s general watchfulness divorces it from its confrontational function in the text. It is a promise, but it is a promise that indicts in this context.</w:t>
      </w:r>
    </w:p>
    <w:p>
      <w:pPr>
        <w:numPr>
          <w:ilvl w:val="0"/>
          <w:numId w:val="1002"/>
        </w:numPr>
      </w:pPr>
      <w:r>
        <w:rPr>
          <w:b/>
          <w:bCs/>
        </w:rPr>
        <w:t xml:space="preserve">Missing the trajectory structure of chapters 14-16.</w:t>
      </w:r>
      <w:r>
        <w:t xml:space="preserve"> </w:t>
      </w:r>
      <w:r>
        <w:t xml:space="preserve">The full force of chapter 16 requires the contrast with chapters 14-15. A sermon on chapter 16 alone will lack the weight that comes from Asa’s earlier genuine faith. The preacher should establish the contrast — not necessarily by preaching the prior chapters but by giving the congregation enough of the backstory that the tragedy registers. The failure lands harder when the congregation knows what Asa was capable of.</w:t>
      </w:r>
    </w:p>
    <w:p>
      <w:pPr>
        <w:numPr>
          <w:ilvl w:val="0"/>
          <w:numId w:val="1002"/>
        </w:numPr>
      </w:pPr>
      <w:r>
        <w:rPr>
          <w:b/>
          <w:bCs/>
        </w:rPr>
        <w:t xml:space="preserve">Preaching only the behavior and missing the idol beneath it.</w:t>
      </w:r>
      <w:r>
        <w:t xml:space="preserve"> </w:t>
      </w:r>
      <w:r>
        <w:t xml:space="preserve">The Keller diagnostic is useful here: Asa’s reach for Syria is not primarily a failure of</w:t>
      </w:r>
      <w:r>
        <w:t xml:space="preserve"> </w:t>
      </w:r>
      <w:r>
        <w:rPr>
          <w:i/>
          <w:iCs/>
        </w:rPr>
        <w:t xml:space="preserve">strategy</w:t>
      </w:r>
      <w:r>
        <w:t xml:space="preserve"> </w:t>
      </w:r>
      <w:r>
        <w:t xml:space="preserve">— it is the symptom of an idol of</w:t>
      </w:r>
      <w:r>
        <w:t xml:space="preserve"> </w:t>
      </w:r>
      <w:r>
        <w:rPr>
          <w:i/>
          <w:iCs/>
        </w:rPr>
        <w:t xml:space="preserve">control</w:t>
      </w:r>
      <w:r>
        <w:t xml:space="preserve">. When the military threat materialized, Asa wanted a mechanism he could manage, a deal he could negotiate, an outcome he could purchase. The root is the desire for self-sufficient control rather than dependent trust. Applications that address only the behavior (</w:t>
      </w:r>
      <w:r>
        <w:t xml:space="preserve">“seek God first, not human resources”</w:t>
      </w:r>
      <w:r>
        <w:t xml:space="preserve">) without diagnosing the controlling root will be incomplete. The sermon should ask why the human mechanism feels more manageable than prayer — and name what that preference reveals about the heart’s functional trust.</w:t>
      </w:r>
    </w:p>
    <w:p>
      <w:pPr>
        <w:numPr>
          <w:ilvl w:val="0"/>
          <w:numId w:val="1002"/>
        </w:numPr>
      </w:pPr>
      <w:r>
        <w:rPr>
          <w:b/>
          <w:bCs/>
        </w:rPr>
        <w:t xml:space="preserve">Underreading the Hanani rejection as merely petty anger.</w:t>
      </w:r>
      <w:r>
        <w:t xml:space="preserve"> </w:t>
      </w:r>
      <w:r>
        <w:t xml:space="preserve">Asa’s imprisonment of Hanani (v.10) is not a footnote — it is the hinge of the chapter. The military failure might have been recovered from; the rejection of the prophetic word is what seals the pattern and explains why the foot disease produces no repentance. The preacher should linger here: the moment a person becomes angry at the word that names their idol is precisely the moment that most needs a repentant response. The rage is the tell. Asa’s anger is a diagnostic for the congregation — when a sermon or a passage or a person makes you angry in that specific way, pay attention to what is being named.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2026-07-14T21:03:29Z</dcterms:created>
  <dcterms:modified xsi:type="dcterms:W3CDTF">2026-07-14T21:03:29Z</dcterms:modified>
</cp:coreProperties>
</file>

<file path=docProps/custom.xml><?xml version="1.0" encoding="utf-8"?>
<Properties xmlns="http://schemas.openxmlformats.org/officeDocument/2006/custom-properties" xmlns:vt="http://schemas.openxmlformats.org/officeDocument/2006/docPropsVTypes"/>
</file>